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AE8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ind w:left="4956"/>
        <w:rPr>
          <w:rFonts w:ascii="TimesNewRomanPSMT" w:hAnsi="TimesNewRomanPSMT" w:cs="TimesNewRomanPSMT"/>
        </w:rPr>
      </w:pPr>
    </w:p>
    <w:p w14:paraId="429574AF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Zasady udzielania i rozliczania dotacji celowej na dofinansowanie zakupu, montażu</w:t>
      </w:r>
    </w:p>
    <w:p w14:paraId="7AAA47E5" w14:textId="4655AEA9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i uruchomienia nowego źródła ciepła </w:t>
      </w:r>
      <w:r w:rsidR="000621AC" w:rsidRPr="000621AC">
        <w:rPr>
          <w:rFonts w:ascii="Times New Roman" w:hAnsi="Times New Roman" w:cs="Times New Roman"/>
          <w:sz w:val="24"/>
          <w:szCs w:val="24"/>
        </w:rPr>
        <w:t>w związku z wymianą istniejącego źródła ciepła na paliwo stałe</w:t>
      </w:r>
      <w:r w:rsidR="000621AC">
        <w:rPr>
          <w:rFonts w:ascii="TimesNewRomanPS-BoldMT" w:hAnsi="TimesNewRomanPS-BoldMT" w:cs="TimesNewRomanPS-BoldMT"/>
          <w:b/>
          <w:bCs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w celu ograniczenia zanieczyszczeń powietrza na terenie Gminy Chełmża.</w:t>
      </w:r>
    </w:p>
    <w:p w14:paraId="719512BA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7EFC5131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Cel dotacji</w:t>
      </w:r>
    </w:p>
    <w:p w14:paraId="30C3CD19" w14:textId="77777777" w:rsidR="006421CD" w:rsidRPr="000621AC" w:rsidRDefault="006421CD" w:rsidP="000621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>§ 1</w:t>
      </w:r>
      <w:r w:rsidRPr="000621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21AC">
        <w:rPr>
          <w:rFonts w:ascii="Times New Roman" w:hAnsi="Times New Roman" w:cs="Times New Roman"/>
          <w:sz w:val="24"/>
          <w:szCs w:val="24"/>
        </w:rPr>
        <w:t>Zasady udzielania i rozliczania dotacji celowej na dofinansowanie zakupu, montażu</w:t>
      </w:r>
    </w:p>
    <w:p w14:paraId="7A341C68" w14:textId="5F835B05" w:rsidR="006421CD" w:rsidRPr="000621AC" w:rsidRDefault="006421CD" w:rsidP="00062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1AC">
        <w:rPr>
          <w:rFonts w:ascii="Times New Roman" w:hAnsi="Times New Roman" w:cs="Times New Roman"/>
          <w:sz w:val="24"/>
          <w:szCs w:val="24"/>
        </w:rPr>
        <w:t>i uruchomienia nowego źródła ciepła</w:t>
      </w:r>
      <w:r w:rsidR="000621AC" w:rsidRPr="000621AC">
        <w:rPr>
          <w:rFonts w:ascii="Times New Roman" w:hAnsi="Times New Roman" w:cs="Times New Roman"/>
          <w:sz w:val="24"/>
          <w:szCs w:val="24"/>
        </w:rPr>
        <w:t xml:space="preserve"> </w:t>
      </w:r>
      <w:r w:rsidR="000621AC" w:rsidRPr="000621AC">
        <w:rPr>
          <w:rFonts w:ascii="Times New Roman" w:hAnsi="Times New Roman" w:cs="Times New Roman"/>
          <w:sz w:val="24"/>
          <w:szCs w:val="24"/>
        </w:rPr>
        <w:t>w związku z wymianą istniejącego źródła ciepła na paliwo stałe w celu ograniczenia zanieczyszczeń powietrza na terenie Gminy Chełmża</w:t>
      </w:r>
      <w:r>
        <w:rPr>
          <w:rFonts w:ascii="TimesNewRomanPSMT" w:hAnsi="TimesNewRomanPSMT" w:cs="TimesNewRomanPSMT"/>
        </w:rPr>
        <w:t>, zwane dalej Zasadami, określają warunki na jakich następuje wspieranie przedsięwzięć</w:t>
      </w:r>
      <w:r w:rsidR="00062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</w:rPr>
        <w:t>zmierzających do poprawy stanu środowiska naturalnego, poprzez wymianę, zakup, montaż i uruchomienie nowego źródła ciepła w celu zmniejszenia ilości zanieczyszczeń emitowanych do powietrza w wyniku procesów spalania paliw stałych w budynkach mieszkalnych jednorodzinnych i lokalach mieszkalnych na terenie Gminy Chełmża.</w:t>
      </w:r>
    </w:p>
    <w:p w14:paraId="3C32B79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00B92433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Warunki przyznania dotacji</w:t>
      </w:r>
    </w:p>
    <w:p w14:paraId="59AE68EE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1. Przedmiotem dofinansowania objęte będą przedsięwzięcia związane z wymianą istniejącego źródła ciepła zasilanego paliwem stałym w budynkach mieszkalnych jednorodzinnych i lokalach mieszkalnych na nowe źródło ciepła o wyższej sprawności:</w:t>
      </w:r>
    </w:p>
    <w:p w14:paraId="12FC5957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kotły na paliwa stałe, o których mowa w ust. 3;</w:t>
      </w:r>
    </w:p>
    <w:p w14:paraId="75FC2C9A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kotły gazowe, o których mowa w ust. 4;</w:t>
      </w:r>
    </w:p>
    <w:p w14:paraId="6648138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kotły olejowe, o których mowa w ust. 4;</w:t>
      </w:r>
    </w:p>
    <w:p w14:paraId="7621ADA7" w14:textId="7026FD6A" w:rsidR="006421CD" w:rsidRDefault="006421CD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kotły elektryczne</w:t>
      </w:r>
      <w:r w:rsidR="000621AC">
        <w:rPr>
          <w:rFonts w:ascii="TimesNewRomanPSMT" w:hAnsi="TimesNewRomanPSMT" w:cs="TimesNewRomanPSMT"/>
        </w:rPr>
        <w:t>;</w:t>
      </w:r>
    </w:p>
    <w:p w14:paraId="5589FA0A" w14:textId="2B1B0069" w:rsidR="000621AC" w:rsidRDefault="000621AC" w:rsidP="00181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 pompy ciepła o których mowa</w:t>
      </w:r>
      <w:r w:rsidR="00191692">
        <w:rPr>
          <w:rFonts w:ascii="TimesNewRomanPSMT" w:hAnsi="TimesNewRomanPSMT" w:cs="TimesNewRomanPSMT"/>
        </w:rPr>
        <w:t xml:space="preserve"> w ust. 4a.</w:t>
      </w:r>
    </w:p>
    <w:p w14:paraId="050FE5CB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Materiały oraz urządzenia użyte do wymiany źródła ciepła muszą być fabrycznie nowe</w:t>
      </w:r>
    </w:p>
    <w:p w14:paraId="4DEF559E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zamontowane po raz pierwszy oraz spełniać wymagania wynikające z obowiązujących norm.</w:t>
      </w:r>
    </w:p>
    <w:p w14:paraId="71B46311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Kotły na paliwa stałe muszą spełniać wymagania:</w:t>
      </w:r>
    </w:p>
    <w:p w14:paraId="304966C2" w14:textId="77777777" w:rsidR="006421CD" w:rsidRPr="006421CD" w:rsidRDefault="006421CD" w:rsidP="00181E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klasy 5, określone w normie PN-EN 303-5:2012 lub ECODESIGN „Kotły grzewcze – Część 5: Kotły grzewcze na paliwa stałe z automatycznym zasypem paliwa o mocy nominalnej do 75 kW – Terminologia, wymagania, badania i oznakowanie” lub</w:t>
      </w:r>
    </w:p>
    <w:p w14:paraId="0AF7E364" w14:textId="77777777" w:rsidR="006421CD" w:rsidRPr="006421CD" w:rsidRDefault="006421CD" w:rsidP="00181E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klasy efektywności energetycznej minimum A (kotły na biomasę), minimum B (kotły na</w:t>
      </w:r>
      <w:r>
        <w:rPr>
          <w:rFonts w:ascii="TimesNewRomanPSMT" w:hAnsi="TimesNewRomanPSMT" w:cs="TimesNewRomanPSMT"/>
        </w:rPr>
        <w:t xml:space="preserve"> </w:t>
      </w:r>
      <w:r w:rsidRPr="006421CD">
        <w:rPr>
          <w:rFonts w:ascii="TimesNewRomanPSMT" w:hAnsi="TimesNewRomanPSMT" w:cs="TimesNewRomanPSMT"/>
        </w:rPr>
        <w:t>paliwa kopalne), określone w Rozporządzeniu Komisji (UE) 2015/1189 z dnia 28 kwietnia 2015 r.,</w:t>
      </w:r>
      <w:r>
        <w:rPr>
          <w:rFonts w:ascii="TimesNewRomanPSMT" w:hAnsi="TimesNewRomanPSMT" w:cs="TimesNewRomanPSMT"/>
        </w:rPr>
        <w:t xml:space="preserve"> </w:t>
      </w:r>
      <w:r w:rsidRPr="006421CD">
        <w:rPr>
          <w:rFonts w:ascii="TimesNewRomanPSMT" w:hAnsi="TimesNewRomanPSMT" w:cs="TimesNewRomanPSMT"/>
        </w:rPr>
        <w:t>w sprawie wykonania dyrektywy Parlamentu Europejskiego i Rady 209/125/WE w odniesieniu do</w:t>
      </w:r>
      <w:r>
        <w:rPr>
          <w:rFonts w:ascii="TimesNewRomanPSMT" w:hAnsi="TimesNewRomanPSMT" w:cs="TimesNewRomanPSMT"/>
        </w:rPr>
        <w:t xml:space="preserve"> </w:t>
      </w:r>
      <w:r w:rsidRPr="006421CD">
        <w:rPr>
          <w:rFonts w:ascii="TimesNewRomanPSMT" w:hAnsi="TimesNewRomanPSMT" w:cs="TimesNewRomanPSMT"/>
        </w:rPr>
        <w:t>wymogów dotyczących ekoprojektu dla kotłów na paliwo stałe (Dz.U. UE L 193 z 21.07.2015 s 100 oraz</w:t>
      </w:r>
    </w:p>
    <w:p w14:paraId="62DB2EAB" w14:textId="77777777" w:rsidR="006421CD" w:rsidRPr="006421CD" w:rsidRDefault="006421CD" w:rsidP="00181E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rozporządzenia Ministra Rozwoju i Finansów z dnia 1 sierpnia 2017 r. w sprawie wymagań dla kotłów na paliwo stałe (Dz.U. z 2019 r. poz. 2549 z późn. zm.), w szczególności w zakresie zakazu stosowania w konstrukcji kotłów rusztu awaryjnego.</w:t>
      </w:r>
    </w:p>
    <w:p w14:paraId="0D9A50EF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4. Kotły na paliwa ciekłe i gazowe muszą spełniać w odniesieniu do ogrzewania pomieszczeń wymagania klasy efektywności energetycznej minimum A, określone w Rozporządzeniu delegowanym Komisji (UE) NR 811/2013 z dnia 18 lutego 2013 r., oraz w Rozporządzeniu Parlamentu Europejskiego i Rady (UE)2017/1369 z dnia 4 lipca 2017 r ustanawiającym ramy etykietowania energetycznego i uchylającym dyrektywę 2010/30/UE.</w:t>
      </w:r>
    </w:p>
    <w:p w14:paraId="74AA327B" w14:textId="308AB79B" w:rsidR="00191692" w:rsidRPr="00191692" w:rsidRDefault="00191692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4a. Pompy ciepła muszą spełniać w odniesieniu do ogrzewania pomieszczeń wymagania klasy efektywności energetycznej minimum A+ (dotyczy klasy energetycznej wyznaczanej w temperaturze zasilania 55</w:t>
      </w:r>
      <w:r>
        <w:rPr>
          <w:rFonts w:ascii="TimesNewRomanPSMT" w:hAnsi="TimesNewRomanPSMT" w:cs="TimesNewRomanPSMT"/>
          <w:vertAlign w:val="superscript"/>
        </w:rPr>
        <w:t>0</w:t>
      </w:r>
      <w:r>
        <w:rPr>
          <w:rFonts w:ascii="TimesNewRomanPSMT" w:hAnsi="TimesNewRomanPSMT" w:cs="TimesNewRomanPSMT"/>
        </w:rPr>
        <w:t xml:space="preserve"> C) na podstawie karty produktu i etykiety energetycznej. W przypadku montażu zestawu, musi on spełniać wymagania klasy energetycznej, co najmniej jedną klasę wyżej niż wspomagane źródło ciepła na podstawie etykiety energetycznej dla </w:t>
      </w:r>
      <w:r w:rsidR="00F4086E">
        <w:rPr>
          <w:rFonts w:ascii="TimesNewRomanPSMT" w:hAnsi="TimesNewRomanPSMT" w:cs="TimesNewRomanPSMT"/>
        </w:rPr>
        <w:t xml:space="preserve">zestawu. Niskotemperaturowe pompy ciepła nie są kwalifikowane do dofinansowania. </w:t>
      </w:r>
    </w:p>
    <w:p w14:paraId="741F8922" w14:textId="48D1A1D2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Wymagania, o których mowa w ust. 3</w:t>
      </w:r>
      <w:r w:rsidR="00F4086E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4</w:t>
      </w:r>
      <w:r w:rsidR="00F4086E">
        <w:rPr>
          <w:rFonts w:ascii="TimesNewRomanPSMT" w:hAnsi="TimesNewRomanPSMT" w:cs="TimesNewRomanPSMT"/>
        </w:rPr>
        <w:t xml:space="preserve"> i 4a</w:t>
      </w:r>
      <w:r>
        <w:rPr>
          <w:rFonts w:ascii="TimesNewRomanPSMT" w:hAnsi="TimesNewRomanPSMT" w:cs="TimesNewRomanPSMT"/>
        </w:rPr>
        <w:t xml:space="preserve"> muszą zostać udokumentowane w formie:</w:t>
      </w:r>
    </w:p>
    <w:p w14:paraId="78DCD2E9" w14:textId="77777777" w:rsidR="006421CD" w:rsidRPr="006421CD" w:rsidRDefault="006421CD" w:rsidP="00181E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etykiety efektywności energetycznej,</w:t>
      </w:r>
    </w:p>
    <w:p w14:paraId="4A9434B2" w14:textId="77777777" w:rsidR="006421CD" w:rsidRPr="006421CD" w:rsidRDefault="006421CD" w:rsidP="00181E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wyciągu z dokumentacji techniczno - ruchowej,</w:t>
      </w:r>
    </w:p>
    <w:p w14:paraId="32B67AD7" w14:textId="77777777" w:rsidR="006421CD" w:rsidRPr="006421CD" w:rsidRDefault="006421CD" w:rsidP="00181E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deklaracji zgodności;</w:t>
      </w:r>
    </w:p>
    <w:p w14:paraId="1D934C58" w14:textId="77777777" w:rsidR="006421CD" w:rsidRPr="006421CD" w:rsidRDefault="006421CD" w:rsidP="00181E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6421CD">
        <w:rPr>
          <w:rFonts w:ascii="TimesNewRomanPSMT" w:hAnsi="TimesNewRomanPSMT" w:cs="TimesNewRomanPSMT"/>
        </w:rPr>
        <w:t>posiadać certyfikat CE.</w:t>
      </w:r>
    </w:p>
    <w:p w14:paraId="36E49553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Moc nowego źródła ciepła musi odpowiadać aktualnemu zapotrzebowaniu budynku na ciepło.</w:t>
      </w:r>
    </w:p>
    <w:p w14:paraId="7A41645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Instalacja musi być wykonana zgodnie z obowiązującymi przepisami prawa oraz wymaganiami</w:t>
      </w:r>
    </w:p>
    <w:p w14:paraId="39B28F75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producenta. W szczególności ustawą Prawo budowlane, ustawą Prawo energetyczne, polskimi normami.</w:t>
      </w:r>
    </w:p>
    <w:p w14:paraId="1236441D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Wykonawca instalacji powinien posiadać wymagane przepisami uprawnienia do wykonania montażu.</w:t>
      </w:r>
    </w:p>
    <w:p w14:paraId="10E4641E" w14:textId="1FCB9FA4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Program nie dotyczy budynków wykorzystywanych sezonowo np.: domów letniskowych oraz montażu</w:t>
      </w:r>
      <w:r w:rsidR="00F4086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przenośnych urządzeń grzewczych.</w:t>
      </w:r>
    </w:p>
    <w:p w14:paraId="24E197AF" w14:textId="274063FC" w:rsidR="006421CD" w:rsidRPr="00DD480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10. Kosztem kwalifikowanym jest </w:t>
      </w:r>
      <w:r>
        <w:rPr>
          <w:rFonts w:ascii="TimesNewRomanPS-BoldMT" w:hAnsi="TimesNewRomanPS-BoldMT" w:cs="TimesNewRomanPS-BoldMT"/>
          <w:b/>
          <w:bCs/>
        </w:rPr>
        <w:t>zakup, montaż i uruchomienie nowego źródła ciepła spełniającego</w:t>
      </w:r>
      <w:r w:rsidR="00DD480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wymagania określone w ust. 3</w:t>
      </w:r>
      <w:r w:rsidR="00F4086E">
        <w:rPr>
          <w:rFonts w:ascii="TimesNewRomanPS-BoldMT" w:hAnsi="TimesNewRomanPS-BoldMT" w:cs="TimesNewRomanPS-BoldMT"/>
          <w:b/>
          <w:bCs/>
        </w:rPr>
        <w:t>,</w:t>
      </w:r>
      <w:r>
        <w:rPr>
          <w:rFonts w:ascii="TimesNewRomanPS-BoldMT" w:hAnsi="TimesNewRomanPS-BoldMT" w:cs="TimesNewRomanPS-BoldMT"/>
          <w:b/>
          <w:bCs/>
        </w:rPr>
        <w:t xml:space="preserve"> 4</w:t>
      </w:r>
      <w:r w:rsidR="00F4086E">
        <w:rPr>
          <w:rFonts w:ascii="TimesNewRomanPS-BoldMT" w:hAnsi="TimesNewRomanPS-BoldMT" w:cs="TimesNewRomanPS-BoldMT"/>
          <w:b/>
          <w:bCs/>
        </w:rPr>
        <w:t xml:space="preserve"> i 4a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.</w:t>
      </w:r>
    </w:p>
    <w:p w14:paraId="7D84E4AB" w14:textId="77777777" w:rsidR="006421CD" w:rsidRPr="00F4086E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</w:rPr>
        <w:t xml:space="preserve">11. </w:t>
      </w:r>
      <w:r w:rsidRPr="00F4086E">
        <w:rPr>
          <w:rFonts w:ascii="TimesNewRomanPSMT" w:hAnsi="TimesNewRomanPSMT" w:cs="TimesNewRomanPSMT"/>
          <w:u w:val="single"/>
        </w:rPr>
        <w:t>Koszty kwalifikowane stanowią koszty poniesione przez Beneficjenta po zawarciu umowy.</w:t>
      </w:r>
    </w:p>
    <w:p w14:paraId="6E457AFD" w14:textId="77777777" w:rsidR="00DD480D" w:rsidRDefault="00DD480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7A8C3A5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>1. Wsparcie finansowe na zakup, montaż i uruchomienie nowego źródła ciepła następować będzie</w:t>
      </w:r>
    </w:p>
    <w:p w14:paraId="70A5F96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budżetu gminy w formie dotacji celowej przewidzianej w ustawie z dnia 27 sierpnia 2009 r. o finansach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publicznych, na finansowanie lub dofinansowanie kosztów inwestycji podmiotów niezaliczonych do sektora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finansów publicznych.</w:t>
      </w:r>
    </w:p>
    <w:p w14:paraId="2A5D1B37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Beneficjentami Programu mogą być osoby fizyczne będące właścicielami lub współwłaścicielami nieruchomości, stanowiących budynek mieszkalny jednorodzinny lub lokal</w:t>
      </w:r>
      <w:r w:rsidR="00181E25">
        <w:rPr>
          <w:rFonts w:ascii="TimesNewRomanPSMT" w:hAnsi="TimesNewRomanPSMT" w:cs="TimesNewRomanPSMT"/>
        </w:rPr>
        <w:t xml:space="preserve"> mieszkalny, </w:t>
      </w:r>
      <w:r>
        <w:rPr>
          <w:rFonts w:ascii="TimesNewRomanPSMT" w:hAnsi="TimesNewRomanPSMT" w:cs="TimesNewRomanPSMT"/>
        </w:rPr>
        <w:t>wykorzystywany w całości na własne potrzeby mieszkaniowe.</w:t>
      </w:r>
    </w:p>
    <w:p w14:paraId="50E9D523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Współwłaściciel może skorzystać z dofinansowania po przedłożeniu zgód pozostałych współwłaścicieli w tym przypadku do wniosku należy dołączyć również oświadczenia o wyrażeniu </w:t>
      </w:r>
      <w:r>
        <w:rPr>
          <w:rFonts w:ascii="TimesNewRomanPSMT" w:hAnsi="TimesNewRomanPSMT" w:cs="TimesNewRomanPSMT"/>
        </w:rPr>
        <w:lastRenderedPageBreak/>
        <w:t>zgody na wypłacenie dotacji współwłaścicielowi składającemu wniosek o dotację, współmałżonkowie składają wspólny wniosek.</w:t>
      </w:r>
    </w:p>
    <w:p w14:paraId="35A2767C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Dotacja jest przyznawana na pokrycie kosztów kwalifikowanych i nie obejmuje kosztów wykonania</w:t>
      </w:r>
    </w:p>
    <w:p w14:paraId="34A8339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dokumentacji, wykonania instalacji wewnętrznej i wykonania przyłączy.</w:t>
      </w:r>
    </w:p>
    <w:p w14:paraId="33CEDDDA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Warunkiem ubiegania się o dofinansowanie jest złożenie przez wnioskodawcę wniosku</w:t>
      </w:r>
    </w:p>
    <w:p w14:paraId="2221B31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 udzielenie dotacji w okresie trwania naboru. Wzór wniosku o udzielenie dotacji celowej stanowi</w:t>
      </w:r>
    </w:p>
    <w:p w14:paraId="01DF2F81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 Nr 1 do Zasad. Do wniosku wnioskodawca dołącza oświadczenie o prawie do budynku mieszkalnego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lub lokalu mieszkalnego na formularzu stanowiącym załącznik Nr 2 do zasad.</w:t>
      </w:r>
    </w:p>
    <w:p w14:paraId="6A2E0E4D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Dotacje udzielane będą do wyczerpania środków finansowych przeznaczonych na ten cel</w:t>
      </w:r>
    </w:p>
    <w:p w14:paraId="03E780C9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roku budżetowym.</w:t>
      </w:r>
    </w:p>
    <w:p w14:paraId="50B8B150" w14:textId="36BF33A8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Beneficjent we własnym zakresie i na własną odpowiedzialność dokonuje wyboru</w:t>
      </w:r>
      <w:r w:rsidR="00F4086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wykonawcy który wykona montaż i dobór nowego źródła ciepła oraz zapewni realizację wymiany</w:t>
      </w:r>
    </w:p>
    <w:p w14:paraId="58773BF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źródła ciepła zgodnie z przepisami prawa.</w:t>
      </w:r>
    </w:p>
    <w:p w14:paraId="7143DD13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Dotacja nie przysługuje, jeżeli w budynku obok ogrzewania źródła ciepła zasilanego paliwem</w:t>
      </w:r>
    </w:p>
    <w:p w14:paraId="53850F26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stałym istnieje źródło ciepła opisane w §2.</w:t>
      </w:r>
    </w:p>
    <w:p w14:paraId="2198A1B7" w14:textId="5FF45B21" w:rsidR="00191B39" w:rsidRDefault="00191B39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W przypadku gdy Wnioskodawca otrzymał dofinansowanie z innych programów dotacja nie przysługuje.</w:t>
      </w:r>
    </w:p>
    <w:p w14:paraId="32A2F85A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311E5C7A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Źródła finansowania i wysokość dotacji</w:t>
      </w:r>
    </w:p>
    <w:p w14:paraId="74CE8E9B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>1. Finansowanie zakupu, montażu i uruchomienie nowego źródła ciepła następować będzie</w:t>
      </w:r>
    </w:p>
    <w:p w14:paraId="3341CBCB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budżetu gminy .</w:t>
      </w:r>
    </w:p>
    <w:p w14:paraId="7E33EB68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</w:t>
      </w:r>
      <w:r w:rsidRPr="00181E25">
        <w:rPr>
          <w:rFonts w:ascii="TimesNewRomanPSMT" w:hAnsi="TimesNewRomanPSMT" w:cs="TimesNewRomanPSMT"/>
          <w:u w:val="single"/>
        </w:rPr>
        <w:t>. Dotacja w/w udzielana będzie w wysokości 3 000,00 zł.</w:t>
      </w:r>
      <w:r>
        <w:rPr>
          <w:rFonts w:ascii="TimesNewRomanPSMT" w:hAnsi="TimesNewRomanPSMT" w:cs="TimesNewRomanPSMT"/>
        </w:rPr>
        <w:t xml:space="preserve"> niezależnie od ostatecznego kosztu wykonania,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tj. zakupu, montażu i uruchomienia nowego źródła ciepła.</w:t>
      </w:r>
    </w:p>
    <w:p w14:paraId="28DAEB9F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718DE988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Nabór wniosków</w:t>
      </w:r>
    </w:p>
    <w:p w14:paraId="6C44FE2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1. Wniosek o udzielenie dotacji będzie do pobrania ze strony BIP Gminy Chełmża</w:t>
      </w:r>
    </w:p>
    <w:p w14:paraId="2DD68F1C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zakładka druki do pobrania, ochrona środowiska.</w:t>
      </w:r>
    </w:p>
    <w:p w14:paraId="1B3CEB88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Ogłoszenie o naborze zamieszczone będzie na stronie internetowej Gminy Chełmża.</w:t>
      </w:r>
    </w:p>
    <w:p w14:paraId="0B24896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Nabór wniosków prowadzony będzie w terminach określonych przez Wójta Gminy. Termin naboru</w:t>
      </w:r>
    </w:p>
    <w:p w14:paraId="13B771A9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podany zostanie do publicznej wiadomości na stronie internetowej w Biuletynie Informacji Publicznej Gminy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Chełmża i na tablicy ogłoszeń w Urzędzie Gminy Chełmża.</w:t>
      </w:r>
    </w:p>
    <w:p w14:paraId="7F9019F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Wnioski o przyznanie dotacji złożone po terminie zostaną pozostawione bez rozpatrzenia.</w:t>
      </w:r>
    </w:p>
    <w:p w14:paraId="563FF935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Złożenie wniosku nie jest tożsame z otrzymaniem dofinansowania.</w:t>
      </w:r>
    </w:p>
    <w:p w14:paraId="6F484B2E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przypadku stwierdzenia błędów formalnych dopuszcza się możliwość jednokrotnej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poprawy/ uzupełnienia wniosku przez wnioskodawcę w terminie 3 dni roboczych od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powiadomienia. Po bezskutecznym upływie terminu do uzupełnienia, wniosek zostanie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pozostawiony bez rozpatrzenia.</w:t>
      </w:r>
    </w:p>
    <w:p w14:paraId="4379174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Wniosek oceniony negatywnie podlega odrzuceniu.</w:t>
      </w:r>
    </w:p>
    <w:p w14:paraId="177DCFB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8. Po upływie terminu naboru, wnioski zostaną poddane weryfikacji formalnej.</w:t>
      </w:r>
    </w:p>
    <w:p w14:paraId="509559D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Jeżeli kwota przeznaczona na dotacje nie wystarczy na udzielenie dotacji każdemu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wnioskodawcy, w celu zapewnienia wnioskodawcom równych szans wybór beneficjentów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dokonywany będzie w losowaniu. Miejsce i termin losowania zostanie podane do publicznej wiadomości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poprzez ogłoszenie zamieszczone na stronie internetowej Gminy Chełmża.</w:t>
      </w:r>
    </w:p>
    <w:p w14:paraId="0CA3A0B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7C5839C7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Rozliczenie dotacji</w:t>
      </w:r>
    </w:p>
    <w:p w14:paraId="5FAD902F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6. </w:t>
      </w:r>
      <w:r>
        <w:rPr>
          <w:rFonts w:ascii="TimesNewRomanPSMT" w:hAnsi="TimesNewRomanPSMT" w:cs="TimesNewRomanPSMT"/>
        </w:rPr>
        <w:t>1. Kompletny wniosek po jego zweryfikowaniu stanowi podstawę do zawarcia umowy</w:t>
      </w:r>
    </w:p>
    <w:p w14:paraId="208155E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 przyznaniu dotacji.</w:t>
      </w:r>
    </w:p>
    <w:p w14:paraId="1CC88DC7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Beneficjent umożliwi dostęp do nieruchomości w celu przeprowadzenia oględzin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polegających na stwierdzeniu zgodności stanu faktycznego ze stanem deklarowanym we wniosku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przed rozpoczęciem inwestycji oraz po jej zakończeniu. Oględziny przeprowadzone będą przez osoby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upoważnione przez Wójta Gminy Chełmża w terminie umówionym z Beneficjentem w godzinach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pracy Urzędu Gminy.</w:t>
      </w:r>
    </w:p>
    <w:p w14:paraId="54F3DA7E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Beneficjent (dotowany), któremu przyznano dotację zobowiązany jest do realizacji</w:t>
      </w:r>
      <w:r w:rsidR="00181E2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przedsięwzięcia w czasie umożliwiającym jego terminowe zakończenie i rozliczenie.</w:t>
      </w:r>
    </w:p>
    <w:p w14:paraId="2A11ED6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Zakup, montaż i uruchomienie źródła ciepła przez Beneficjenta powinien nastąpić do</w:t>
      </w:r>
    </w:p>
    <w:p w14:paraId="0CCCD219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31 października roku w którym została zawarta umowa o udzielenie dotacji.</w:t>
      </w:r>
    </w:p>
    <w:p w14:paraId="28A4C879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Beneficjent będzie ponosił pełną odpowiedzialność za zakup, montaż i uruchomienie nowego</w:t>
      </w:r>
    </w:p>
    <w:p w14:paraId="54AB970F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źródła ciepła oraz osiągnięcie deklarowanych we wniosku celów i efektów ekologicznych.</w:t>
      </w:r>
    </w:p>
    <w:p w14:paraId="55CEF0C4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Wypłata dotacji nastąpi po udokumentowaniu wydatków na zakup, montaż i uruchomienie nowego</w:t>
      </w:r>
    </w:p>
    <w:p w14:paraId="7EF772A1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źródła ciepła w wysokości określonej w § 4 ust. 2.</w:t>
      </w:r>
    </w:p>
    <w:p w14:paraId="75F58C1C" w14:textId="77777777" w:rsidR="00DD480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Występując o wypłatę dotacji, Beneficjent zobowiązany jest przedłożyć w terminie - do dnia </w:t>
      </w:r>
    </w:p>
    <w:p w14:paraId="680D17AA" w14:textId="77777777" w:rsidR="006421CD" w:rsidRPr="00DD480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31</w:t>
      </w:r>
      <w:r w:rsidR="00DD480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października roku w którym została zawarta umowa o udzielenie dotacji</w:t>
      </w:r>
      <w:r>
        <w:rPr>
          <w:rFonts w:ascii="TimesNewRomanPSMT" w:hAnsi="TimesNewRomanPSMT" w:cs="TimesNewRomanPSMT"/>
        </w:rPr>
        <w:t>:</w:t>
      </w:r>
    </w:p>
    <w:p w14:paraId="5951BA96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sprawozdanie merytoryczno - finansowe z zakupu, montażu i uruchomienia nowego źródła ciepła -</w:t>
      </w:r>
    </w:p>
    <w:p w14:paraId="2F6FE090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 Nr 3 do Zasad wraz z załącznikiem;</w:t>
      </w:r>
    </w:p>
    <w:p w14:paraId="7206C682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oświadczenie, że prace zostały przeprowadzone prawidłowo, zgodnie z zasadami itd.- załącznik Nr 4 do Zasad;</w:t>
      </w:r>
    </w:p>
    <w:p w14:paraId="08FA4D09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protokół odbioru końcowego od wykonawcy/ instalatora (zawierający zapis, że zdemontowano stare źródło ciepła).</w:t>
      </w:r>
    </w:p>
    <w:p w14:paraId="056A03A7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Postanowienia końcowe</w:t>
      </w:r>
    </w:p>
    <w:p w14:paraId="4F1AC5AE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7. </w:t>
      </w:r>
      <w:r>
        <w:rPr>
          <w:rFonts w:ascii="TimesNewRomanPSMT" w:hAnsi="TimesNewRomanPSMT" w:cs="TimesNewRomanPSMT"/>
        </w:rPr>
        <w:t>1. Beneficjent, który nie poniósł wydatków na zakup, montaż i uruchomienie nowego źródła ciepła zgodnie z umową, nie zakończył i nie rozliczył się z montażu w terminie określonym w § 6 ust. 4 nie otrzyma dotacji.</w:t>
      </w:r>
    </w:p>
    <w:p w14:paraId="511E7DE6" w14:textId="77777777" w:rsidR="006421CD" w:rsidRDefault="006421CD" w:rsidP="00181E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Dotacja na zakup, montaż i uruchomienie nowego źródła ciepła może zostać udzielona tylko raz</w:t>
      </w:r>
    </w:p>
    <w:p w14:paraId="19D0CAA8" w14:textId="77777777" w:rsidR="00B05B22" w:rsidRDefault="006421CD" w:rsidP="00181E25">
      <w:pPr>
        <w:spacing w:line="360" w:lineRule="auto"/>
        <w:jc w:val="both"/>
      </w:pPr>
      <w:r>
        <w:rPr>
          <w:rFonts w:ascii="TimesNewRomanPSMT" w:hAnsi="TimesNewRomanPSMT" w:cs="TimesNewRomanPSMT"/>
        </w:rPr>
        <w:t>niezależnie od dokonanych później podziałów i wybudowania nowych budynków.</w:t>
      </w:r>
    </w:p>
    <w:sectPr w:rsidR="00B05B22" w:rsidSect="00B0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00D"/>
    <w:multiLevelType w:val="hybridMultilevel"/>
    <w:tmpl w:val="60ECC3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F603D0"/>
    <w:multiLevelType w:val="hybridMultilevel"/>
    <w:tmpl w:val="DCF2B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77973"/>
    <w:multiLevelType w:val="hybridMultilevel"/>
    <w:tmpl w:val="6666BA00"/>
    <w:lvl w:ilvl="0" w:tplc="C51C4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862CB"/>
    <w:multiLevelType w:val="hybridMultilevel"/>
    <w:tmpl w:val="2314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4393">
    <w:abstractNumId w:val="0"/>
  </w:num>
  <w:num w:numId="2" w16cid:durableId="366300721">
    <w:abstractNumId w:val="2"/>
  </w:num>
  <w:num w:numId="3" w16cid:durableId="69929189">
    <w:abstractNumId w:val="1"/>
  </w:num>
  <w:num w:numId="4" w16cid:durableId="1535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CD"/>
    <w:rsid w:val="000621AC"/>
    <w:rsid w:val="00181E25"/>
    <w:rsid w:val="00191692"/>
    <w:rsid w:val="00191B39"/>
    <w:rsid w:val="006421CD"/>
    <w:rsid w:val="006C7341"/>
    <w:rsid w:val="00965D98"/>
    <w:rsid w:val="00B05B22"/>
    <w:rsid w:val="00DD480D"/>
    <w:rsid w:val="00F4086E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3973"/>
  <w15:docId w15:val="{23FACF44-4BC0-4785-B4C0-5DEF7390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stazysta-pir2</dc:creator>
  <cp:lastModifiedBy>Anna Zdrojewska</cp:lastModifiedBy>
  <cp:revision>2</cp:revision>
  <dcterms:created xsi:type="dcterms:W3CDTF">2023-05-29T10:41:00Z</dcterms:created>
  <dcterms:modified xsi:type="dcterms:W3CDTF">2023-05-29T10:41:00Z</dcterms:modified>
</cp:coreProperties>
</file>